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Постановление Минтруда РФ от 16 августа 2002 г. N 61 "Об утверждении Межотраслевых правил по охране труда при эксплуатации водопроводно-канализационного хозяйства"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Межотраслевые правила по охране труда при эксплуатации водопроводно-канализационного хозяйства. ПОТ РМ-025-2002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10 (рекомендуемое). Табель оснащения автомобильного транспорта, осуществляющего перевозку жидкого хлора в баллонах и контейнерах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ГАРАНТ: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Приложение 10 на регистрацию в Минюст России не представлялось и приводится для </w:t>
      </w:r>
      <w:hyperlink r:id="rId10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ознакомления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10</w:t>
        <w:br w:type="textWrapping"/>
        <w:t xml:space="preserve">(рекомендуемое)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r w:rsidDel="00000000" w:rsidR="00000000" w:rsidRPr="00000000">
        <w:rPr>
          <w:smallCaps w:val="0"/>
          <w:rtl w:val="0"/>
        </w:rPr>
        <w:t xml:space="preserve">Табель </w:t>
        <w:br w:type="textWrapping"/>
        <w:t xml:space="preserve">оснащения автомобильного транспорта, осуществляющего перевозку жидкого хлора в баллонах и контейнерах</w:t>
      </w:r>
      <w:hyperlink w:anchor="bookmark=id.35nkun2">
        <w:r w:rsidDel="00000000" w:rsidR="00000000" w:rsidRPr="00000000">
          <w:rPr>
            <w:smallCaps w:val="0"/>
            <w:color w:val="106bbe"/>
            <w:rtl w:val="0"/>
          </w:rPr>
          <w:t xml:space="preserve">*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Набор инструментов для ремонта транспортного средства и тары.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Противооткатный упор.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Знак аварийной остановки или мигающий фонарь красного цвета.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Два знака "Въезд запрещен".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5. Устройства и приспособления для крепления баллонов или контейнеров в кузове автомашины.</w:t>
      </w:r>
    </w:p>
    <w:bookmarkStart w:colFirst="0" w:colLast="0" w:name="bookmark=id.3dy6vkm" w:id="6"/>
    <w:bookmarkEnd w:id="6"/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6. Буксировочный трос.</w:t>
      </w:r>
    </w:p>
    <w:bookmarkStart w:colFirst="0" w:colLast="0" w:name="bookmark=id.1t3h5sf" w:id="7"/>
    <w:bookmarkEnd w:id="7"/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7. Переносной или индивидуальный сигнализатор утечек хлора.</w:t>
      </w:r>
    </w:p>
    <w:bookmarkStart w:colFirst="0" w:colLast="0" w:name="bookmark=id.4d34og8" w:id="8"/>
    <w:bookmarkEnd w:id="8"/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8. Аптечка.</w:t>
      </w:r>
    </w:p>
    <w:bookmarkStart w:colFirst="0" w:colLast="0" w:name="bookmark=id.2s8eyo1" w:id="9"/>
    <w:bookmarkEnd w:id="9"/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9. Два переносных распыливающих устройства специальной конструкции.</w:t>
      </w:r>
    </w:p>
    <w:bookmarkStart w:colFirst="0" w:colLast="0" w:name="bookmark=id.17dp8vu" w:id="10"/>
    <w:bookmarkEnd w:id="10"/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10. Комплект "А" или "Б" (см. </w:t>
      </w:r>
      <w:hyperlink w:anchor="bookmark=id.1ksv4uv">
        <w:r w:rsidDel="00000000" w:rsidR="00000000" w:rsidRPr="00000000">
          <w:rPr>
            <w:smallCaps w:val="0"/>
            <w:color w:val="106bbe"/>
            <w:rtl w:val="0"/>
          </w:rPr>
          <w:t xml:space="preserve">приложение 9</w:t>
        </w:r>
      </w:hyperlink>
      <w:r w:rsidDel="00000000" w:rsidR="00000000" w:rsidRPr="00000000">
        <w:rPr>
          <w:smallCaps w:val="0"/>
          <w:rtl w:val="0"/>
        </w:rPr>
        <w:t xml:space="preserve"> к настоящим Правилам).</w:t>
      </w:r>
    </w:p>
    <w:bookmarkStart w:colFirst="0" w:colLast="0" w:name="bookmark=id.3rdcrjn" w:id="11"/>
    <w:bookmarkEnd w:id="11"/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11. Мобильные средства оперативной связи.</w:t>
      </w:r>
    </w:p>
    <w:bookmarkStart w:colFirst="0" w:colLast="0" w:name="bookmark=id.26in1rg" w:id="12"/>
    <w:bookmarkEnd w:id="12"/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12. Автомобили, перевозящие хлорные контейнеры, должны дополнительно иметь специальный кантователь контейнеров.</w:t>
      </w:r>
    </w:p>
    <w:bookmarkStart w:colFirst="0" w:colLast="0" w:name="bookmark=id.lnxbz9" w:id="13"/>
    <w:bookmarkEnd w:id="13"/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13. Лица, осуществляющие перевозку затаренного жидкого хлора, должны быть обеспечены следующим минимальным комплектом средств индивидуальной защиты органов дыхания и кожи: фильтрующими противогазами, изолирующими дыхательными аппаратами, изолирующими костюмами.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</w:t>
      </w:r>
    </w:p>
    <w:bookmarkStart w:colFirst="0" w:colLast="0" w:name="bookmark=id.35nkun2" w:id="14"/>
    <w:bookmarkEnd w:id="14"/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* Правила безопасности при производстве, хранении, транспортировании и применении хлора (ПБ 09-322-99).</w:t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ivo.garant.ru/document/redirect/10123081/10" TargetMode="External"/><Relationship Id="rId9" Type="http://schemas.openxmlformats.org/officeDocument/2006/relationships/hyperlink" Target="http://ivo.garant.ru/document/redirect/185141/1100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185141/0" TargetMode="External"/><Relationship Id="rId8" Type="http://schemas.openxmlformats.org/officeDocument/2006/relationships/hyperlink" Target="http://ivo.garant.ru/document/redirect/185141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JEO6/OCE8Gf1tquAS5lmBwYRJw==">AMUW2mWbDFLdQEB7447xXcUioKj0HWufdIi3hK196s0Xb5pxGsoPIHZGHCK4J5G0sP+PLeC135PXkeWkPiZeMIyMfOj9Ul/pqdrkTv8v3jc18K/qIGxszGtu+++mViKAS5BQKXZWMuS3d3004mted+mrvLY9quzqGuZx+vBkyVQJRK0cctFt0tnsqLaWAtCQI3WI+61sX58mVY0KoV129cWhxDJc/s1V40Dl5sxDggAKa3/887RBh59ZPmSJ+drNyrFr5hZjS/LbHDKkulJbtV/Zu+uN+LCepdtvdVtEuBeO+1Tx2kAtB8PVVtQ7h4Q1gn9UescxP/V+xpdO/wLs5ITUAeev+jW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